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9D" w:rsidRDefault="004B15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01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06"/>
        <w:gridCol w:w="7404"/>
      </w:tblGrid>
      <w:tr w:rsidR="004B159D">
        <w:trPr>
          <w:trHeight w:val="891"/>
          <w:jc w:val="right"/>
        </w:trPr>
        <w:tc>
          <w:tcPr>
            <w:tcW w:w="3606" w:type="dxa"/>
            <w:vMerge w:val="restart"/>
          </w:tcPr>
          <w:p w:rsidR="004B159D" w:rsidRDefault="007C223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1</wp:posOffset>
                  </wp:positionV>
                  <wp:extent cx="2143125" cy="3486150"/>
                  <wp:effectExtent l="0" t="0" r="0" b="0"/>
                  <wp:wrapSquare wrapText="bothSides" distT="0" distB="0" distL="114300" distR="11430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3486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04" w:type="dxa"/>
            <w:vAlign w:val="center"/>
          </w:tcPr>
          <w:p w:rsidR="004B159D" w:rsidRDefault="007C223D">
            <w:pPr>
              <w:tabs>
                <w:tab w:val="left" w:pos="5680"/>
              </w:tabs>
              <w:ind w:left="1066" w:hanging="108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WHEN: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  Tuesday, February 18th, 2025</w:t>
            </w:r>
          </w:p>
          <w:p w:rsidR="004B159D" w:rsidRDefault="007C223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              9:00 a.m. – 1:0</w:t>
            </w:r>
            <w:r w:rsidR="008C3C45">
              <w:rPr>
                <w:rFonts w:ascii="Tahoma" w:eastAsia="Tahoma" w:hAnsi="Tahoma" w:cs="Tahoma"/>
                <w:sz w:val="28"/>
                <w:szCs w:val="28"/>
              </w:rPr>
              <w:t>0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p.m.</w:t>
            </w:r>
          </w:p>
          <w:p w:rsidR="004B159D" w:rsidRDefault="004B159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4B159D">
        <w:trPr>
          <w:trHeight w:val="1791"/>
          <w:jc w:val="right"/>
        </w:trPr>
        <w:tc>
          <w:tcPr>
            <w:tcW w:w="3606" w:type="dxa"/>
            <w:vMerge/>
          </w:tcPr>
          <w:p w:rsidR="004B159D" w:rsidRDefault="004B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7404" w:type="dxa"/>
            <w:vAlign w:val="center"/>
          </w:tcPr>
          <w:p w:rsidR="004B159D" w:rsidRDefault="007C223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WHERE: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 Sysco Montana, 1509 Monad Rd, Billings, MT 59101</w:t>
            </w:r>
          </w:p>
          <w:p w:rsidR="004B159D" w:rsidRDefault="004B159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</w:p>
          <w:p w:rsidR="004B159D" w:rsidRDefault="007C223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Come to the blue building off Daniel St. Park in the parking lot closest to the traffic light at the corner of Monad &amp;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Daniel.</w:t>
            </w:r>
          </w:p>
          <w:p w:rsidR="004B159D" w:rsidRDefault="004B159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</w:p>
          <w:p w:rsidR="004B159D" w:rsidRDefault="007C223D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Register on the yvcshrm.starchapter.com website</w:t>
            </w:r>
          </w:p>
        </w:tc>
      </w:tr>
      <w:tr w:rsidR="004B159D">
        <w:trPr>
          <w:trHeight w:val="927"/>
          <w:jc w:val="right"/>
        </w:trPr>
        <w:tc>
          <w:tcPr>
            <w:tcW w:w="3606" w:type="dxa"/>
            <w:vMerge/>
          </w:tcPr>
          <w:p w:rsidR="004B159D" w:rsidRDefault="004B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  <w:tc>
          <w:tcPr>
            <w:tcW w:w="7404" w:type="dxa"/>
            <w:vAlign w:val="center"/>
          </w:tcPr>
          <w:p w:rsidR="004B159D" w:rsidRDefault="004B159D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  <w:p w:rsidR="004B159D" w:rsidRDefault="004B159D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  <w:p w:rsidR="004B159D" w:rsidRDefault="007C223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COST: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$100.00</w:t>
            </w:r>
          </w:p>
        </w:tc>
      </w:tr>
      <w:tr w:rsidR="004B159D">
        <w:trPr>
          <w:trHeight w:val="1497"/>
          <w:jc w:val="right"/>
        </w:trPr>
        <w:tc>
          <w:tcPr>
            <w:tcW w:w="3606" w:type="dxa"/>
            <w:vMerge/>
          </w:tcPr>
          <w:p w:rsidR="004B159D" w:rsidRDefault="004B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7404" w:type="dxa"/>
            <w:vAlign w:val="center"/>
          </w:tcPr>
          <w:p w:rsidR="004B159D" w:rsidRDefault="004B159D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:rsidR="004B159D" w:rsidRPr="007C223D" w:rsidRDefault="007C223D" w:rsidP="007C223D">
      <w:pPr>
        <w:widowControl/>
        <w:shd w:val="clear" w:color="auto" w:fill="FFFFFF"/>
        <w:spacing w:before="120"/>
        <w:rPr>
          <w:rFonts w:ascii="Arial" w:eastAsia="Arial" w:hAnsi="Arial" w:cs="Arial"/>
          <w:b/>
          <w:color w:val="080809"/>
          <w:sz w:val="28"/>
          <w:szCs w:val="28"/>
        </w:rPr>
      </w:pPr>
      <w:r w:rsidRPr="007C223D">
        <w:rPr>
          <w:rFonts w:ascii="Arial" w:eastAsia="Arial" w:hAnsi="Arial" w:cs="Arial"/>
          <w:b/>
          <w:color w:val="080809"/>
          <w:sz w:val="28"/>
          <w:szCs w:val="28"/>
        </w:rPr>
        <w:t>Workplace Communication Workshop: Master Tough Conversations &amp; Lead with</w:t>
      </w:r>
    </w:p>
    <w:p w:rsidR="004B159D" w:rsidRPr="007C223D" w:rsidRDefault="007C223D" w:rsidP="007C223D">
      <w:pPr>
        <w:pStyle w:val="BodyText"/>
        <w:ind w:left="0"/>
        <w:rPr>
          <w:b/>
          <w:sz w:val="28"/>
          <w:szCs w:val="28"/>
        </w:rPr>
      </w:pPr>
      <w:r w:rsidRPr="007C223D">
        <w:rPr>
          <w:b/>
          <w:sz w:val="28"/>
          <w:szCs w:val="28"/>
        </w:rPr>
        <w:t>Confidence</w:t>
      </w:r>
    </w:p>
    <w:p w:rsidR="004B159D" w:rsidRPr="008C3C45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</w:rPr>
      </w:pPr>
      <w:r w:rsidRPr="008C3C45">
        <w:rPr>
          <w:rFonts w:ascii="Arial" w:eastAsia="Arial" w:hAnsi="Arial" w:cs="Arial"/>
          <w:color w:val="080809"/>
        </w:rPr>
        <w:t>Struggling with workplace communication challenges? Learn how to navigate difficult conversations, conflict resolution, and leadership communication with confidence. This interactive workshop will equip you</w:t>
      </w:r>
      <w:r w:rsidR="008C3C45" w:rsidRPr="008C3C45">
        <w:rPr>
          <w:rFonts w:ascii="Arial" w:eastAsia="Arial" w:hAnsi="Arial" w:cs="Arial"/>
          <w:color w:val="080809"/>
        </w:rPr>
        <w:t xml:space="preserve"> </w:t>
      </w:r>
      <w:r w:rsidRPr="008C3C45">
        <w:rPr>
          <w:rFonts w:ascii="Arial" w:eastAsia="Arial" w:hAnsi="Arial" w:cs="Arial"/>
          <w:color w:val="080809"/>
        </w:rPr>
        <w:t>with the skills to:</w:t>
      </w:r>
    </w:p>
    <w:p w:rsidR="004B159D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  <w:sz w:val="21"/>
          <w:szCs w:val="21"/>
        </w:rPr>
      </w:pPr>
      <w:r>
        <w:rPr>
          <w:rFonts w:ascii="Arial" w:eastAsia="Arial" w:hAnsi="Arial" w:cs="Arial"/>
          <w:noProof/>
          <w:color w:val="080809"/>
          <w:sz w:val="21"/>
          <w:szCs w:val="21"/>
        </w:rPr>
        <w:drawing>
          <wp:inline distT="114300" distB="114300" distL="114300" distR="114300">
            <wp:extent cx="152400" cy="152400"/>
            <wp:effectExtent l="0" t="0" r="0" b="0"/>
            <wp:docPr id="8" name="image4.png" descr="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80809"/>
          <w:sz w:val="21"/>
          <w:szCs w:val="21"/>
        </w:rPr>
        <w:t xml:space="preserve"> Handle tough conversations and workplace conflicts effectively</w:t>
      </w:r>
    </w:p>
    <w:p w:rsidR="004B159D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  <w:sz w:val="21"/>
          <w:szCs w:val="21"/>
        </w:rPr>
      </w:pPr>
      <w:r>
        <w:rPr>
          <w:rFonts w:ascii="Arial" w:eastAsia="Arial" w:hAnsi="Arial" w:cs="Arial"/>
          <w:noProof/>
          <w:color w:val="080809"/>
          <w:sz w:val="21"/>
          <w:szCs w:val="21"/>
        </w:rPr>
        <w:drawing>
          <wp:inline distT="114300" distB="114300" distL="114300" distR="114300">
            <wp:extent cx="152400" cy="152400"/>
            <wp:effectExtent l="0" t="0" r="0" b="0"/>
            <wp:docPr id="3" name="image2.png" descr="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80809"/>
          <w:sz w:val="21"/>
          <w:szCs w:val="21"/>
        </w:rPr>
        <w:t xml:space="preserve"> Communicate change in leadership and manage organizational shifts</w:t>
      </w:r>
    </w:p>
    <w:p w:rsidR="004B159D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  <w:sz w:val="21"/>
          <w:szCs w:val="21"/>
        </w:rPr>
      </w:pPr>
      <w:r>
        <w:rPr>
          <w:rFonts w:ascii="Arial" w:eastAsia="Arial" w:hAnsi="Arial" w:cs="Arial"/>
          <w:noProof/>
          <w:color w:val="080809"/>
          <w:sz w:val="21"/>
          <w:szCs w:val="21"/>
        </w:rPr>
        <w:drawing>
          <wp:inline distT="114300" distB="114300" distL="114300" distR="114300">
            <wp:extent cx="152400" cy="152400"/>
            <wp:effectExtent l="0" t="0" r="0" b="0"/>
            <wp:docPr id="5" name="image3.png" descr="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80809"/>
          <w:sz w:val="21"/>
          <w:szCs w:val="21"/>
        </w:rPr>
        <w:t xml:space="preserve"> Strengthen supervisor-employee relationships for a more engaged team</w:t>
      </w:r>
    </w:p>
    <w:p w:rsidR="004B159D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  <w:sz w:val="21"/>
          <w:szCs w:val="21"/>
        </w:rPr>
      </w:pPr>
      <w:r>
        <w:rPr>
          <w:rFonts w:ascii="Arial" w:eastAsia="Arial" w:hAnsi="Arial" w:cs="Arial"/>
          <w:noProof/>
          <w:color w:val="080809"/>
          <w:sz w:val="21"/>
          <w:szCs w:val="21"/>
        </w:rPr>
        <w:drawing>
          <wp:inline distT="114300" distB="114300" distL="114300" distR="114300">
            <wp:extent cx="152400" cy="152400"/>
            <wp:effectExtent l="0" t="0" r="0" b="0"/>
            <wp:docPr id="4" name="image5.png" descr="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80809"/>
          <w:sz w:val="21"/>
          <w:szCs w:val="21"/>
        </w:rPr>
        <w:t xml:space="preserve"> Build confidence in open and productive discussions</w:t>
      </w:r>
    </w:p>
    <w:p w:rsidR="004B159D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  <w:sz w:val="21"/>
          <w:szCs w:val="21"/>
        </w:rPr>
      </w:pPr>
      <w:r>
        <w:rPr>
          <w:rFonts w:ascii="Arial" w:eastAsia="Arial" w:hAnsi="Arial" w:cs="Arial"/>
          <w:noProof/>
          <w:color w:val="080809"/>
          <w:sz w:val="21"/>
          <w:szCs w:val="21"/>
        </w:rPr>
        <w:drawing>
          <wp:inline distT="114300" distB="114300" distL="114300" distR="114300">
            <wp:extent cx="152400" cy="152400"/>
            <wp:effectExtent l="0" t="0" r="0" b="0"/>
            <wp:docPr id="6" name="image1.png" descr="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80809"/>
          <w:sz w:val="21"/>
          <w:szCs w:val="21"/>
        </w:rPr>
        <w:t xml:space="preserve"> Increase your influence, leadership, and communication impact in the</w:t>
      </w:r>
    </w:p>
    <w:p w:rsidR="004B159D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  <w:sz w:val="21"/>
          <w:szCs w:val="21"/>
        </w:rPr>
      </w:pPr>
      <w:r>
        <w:rPr>
          <w:rFonts w:ascii="Arial" w:eastAsia="Arial" w:hAnsi="Arial" w:cs="Arial"/>
          <w:color w:val="080809"/>
          <w:sz w:val="21"/>
          <w:szCs w:val="21"/>
        </w:rPr>
        <w:t xml:space="preserve">       </w:t>
      </w:r>
      <w:proofErr w:type="gramStart"/>
      <w:r>
        <w:rPr>
          <w:rFonts w:ascii="Arial" w:eastAsia="Arial" w:hAnsi="Arial" w:cs="Arial"/>
          <w:color w:val="080809"/>
          <w:sz w:val="21"/>
          <w:szCs w:val="21"/>
        </w:rPr>
        <w:t>workp</w:t>
      </w:r>
      <w:bookmarkStart w:id="0" w:name="_GoBack"/>
      <w:bookmarkEnd w:id="0"/>
      <w:r>
        <w:rPr>
          <w:rFonts w:ascii="Arial" w:eastAsia="Arial" w:hAnsi="Arial" w:cs="Arial"/>
          <w:color w:val="080809"/>
          <w:sz w:val="21"/>
          <w:szCs w:val="21"/>
        </w:rPr>
        <w:t>lace</w:t>
      </w:r>
      <w:proofErr w:type="gramEnd"/>
    </w:p>
    <w:p w:rsidR="004B159D" w:rsidRDefault="007C223D">
      <w:pPr>
        <w:widowControl/>
        <w:shd w:val="clear" w:color="auto" w:fill="FFFFFF"/>
        <w:spacing w:before="120"/>
        <w:rPr>
          <w:rFonts w:ascii="Arial" w:eastAsia="Arial" w:hAnsi="Arial" w:cs="Arial"/>
          <w:b/>
          <w:color w:val="080809"/>
          <w:sz w:val="25"/>
          <w:szCs w:val="25"/>
        </w:rPr>
      </w:pPr>
      <w:r>
        <w:rPr>
          <w:rFonts w:ascii="Arial" w:eastAsia="Arial" w:hAnsi="Arial" w:cs="Arial"/>
          <w:b/>
          <w:color w:val="080809"/>
          <w:sz w:val="27"/>
          <w:szCs w:val="27"/>
          <w:highlight w:val="white"/>
        </w:rPr>
        <w:t>Great leaders communicate effectively—are you ready to level up?</w:t>
      </w:r>
    </w:p>
    <w:p w:rsidR="004B159D" w:rsidRDefault="004B159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6"/>
          <w:szCs w:val="26"/>
        </w:rPr>
      </w:pPr>
    </w:p>
    <w:p w:rsidR="004B159D" w:rsidRDefault="007C223D">
      <w:pPr>
        <w:widowControl/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 professional speaker, international speaking coach, and four-time international best-selling author</w:t>
      </w:r>
      <w:r>
        <w:rPr>
          <w:rFonts w:ascii="Tahoma" w:eastAsia="Tahoma" w:hAnsi="Tahoma" w:cs="Tahoma"/>
          <w:sz w:val="18"/>
          <w:szCs w:val="18"/>
        </w:rPr>
        <w:t xml:space="preserve">, Shelby is a recognized expert in corporate communications. She works with prominent CEOs, professional athletes, and influencers in executive coaching and consulting to help companies amplify their influence in the marketplace with a comprehensive brand </w:t>
      </w:r>
      <w:r>
        <w:rPr>
          <w:rFonts w:ascii="Tahoma" w:eastAsia="Tahoma" w:hAnsi="Tahoma" w:cs="Tahoma"/>
          <w:sz w:val="18"/>
          <w:szCs w:val="18"/>
        </w:rPr>
        <w:t>presence. In all of her endeavors, she helps clients develop a comprehensive brand strategy for thought leadership. Shelby is also CEO of Business Dynamics and CEO of Rogue Publishing Partners, where she helps visionaries develop an infrastructure for thei</w:t>
      </w:r>
      <w:r>
        <w:rPr>
          <w:rFonts w:ascii="Tahoma" w:eastAsia="Tahoma" w:hAnsi="Tahoma" w:cs="Tahoma"/>
          <w:sz w:val="18"/>
          <w:szCs w:val="18"/>
        </w:rPr>
        <w:t>r business and influence. Her particular method helps ingenious entrepreneurs position their idea in the marketplace. Her bestselling book, I See Your Genius: Transform Your Idea into Income, is a valuable reference and guide for entrepreneurs.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9526</wp:posOffset>
            </wp:positionH>
            <wp:positionV relativeFrom="paragraph">
              <wp:posOffset>-634</wp:posOffset>
            </wp:positionV>
            <wp:extent cx="1162050" cy="1328420"/>
            <wp:effectExtent l="0" t="0" r="0" b="0"/>
            <wp:wrapSquare wrapText="bothSides" distT="0" distB="0" distL="114300" distR="114300"/>
            <wp:docPr id="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28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59D" w:rsidRDefault="007C223D">
      <w:pPr>
        <w:widowControl/>
        <w:shd w:val="clear" w:color="auto" w:fill="FFFFFF"/>
        <w:jc w:val="center"/>
        <w:rPr>
          <w:rFonts w:ascii="Tahoma" w:eastAsia="Tahoma" w:hAnsi="Tahoma" w:cs="Tahoma"/>
          <w:sz w:val="18"/>
          <w:szCs w:val="18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Tahoma" w:eastAsia="Tahoma" w:hAnsi="Tahoma" w:cs="Tahoma"/>
          <w:sz w:val="18"/>
          <w:szCs w:val="18"/>
        </w:rPr>
        <w:t xml:space="preserve">Please </w:t>
      </w:r>
      <w:hyperlink r:id="rId8">
        <w:r>
          <w:rPr>
            <w:rFonts w:ascii="Tahoma" w:eastAsia="Tahoma" w:hAnsi="Tahoma" w:cs="Tahoma"/>
            <w:color w:val="0000FF"/>
            <w:sz w:val="18"/>
            <w:szCs w:val="18"/>
            <w:u w:val="single"/>
          </w:rPr>
          <w:t>RSVP online</w:t>
        </w:r>
      </w:hyperlink>
      <w:r>
        <w:rPr>
          <w:rFonts w:ascii="Tahoma" w:eastAsia="Tahoma" w:hAnsi="Tahoma" w:cs="Tahoma"/>
          <w:sz w:val="18"/>
          <w:szCs w:val="18"/>
        </w:rPr>
        <w:t xml:space="preserve"> by 5:00 p.m. on Monday</w:t>
      </w:r>
      <w:r>
        <w:rPr>
          <w:rFonts w:ascii="Tahoma" w:eastAsia="Tahoma" w:hAnsi="Tahoma" w:cs="Tahoma"/>
          <w:b/>
          <w:sz w:val="18"/>
          <w:szCs w:val="18"/>
        </w:rPr>
        <w:t>, February 17th, 2025</w:t>
      </w:r>
      <w:r>
        <w:rPr>
          <w:rFonts w:ascii="Tahoma" w:eastAsia="Tahoma" w:hAnsi="Tahoma" w:cs="Tahoma"/>
          <w:sz w:val="18"/>
          <w:szCs w:val="18"/>
        </w:rPr>
        <w:t>.</w:t>
      </w:r>
    </w:p>
    <w:p w:rsidR="004B159D" w:rsidRDefault="007C223D">
      <w:pPr>
        <w:widowControl/>
        <w:shd w:val="clear" w:color="auto" w:fill="FFFFFF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If you have any questions, please contact YVC SHRM President, Gerri Glover @gerriglover@spherion.com</w:t>
      </w:r>
    </w:p>
    <w:p w:rsidR="004B159D" w:rsidRDefault="004B159D">
      <w:pPr>
        <w:widowControl/>
        <w:shd w:val="clear" w:color="auto" w:fill="FFFFFF"/>
        <w:jc w:val="center"/>
        <w:rPr>
          <w:rFonts w:ascii="Tahoma" w:eastAsia="Tahoma" w:hAnsi="Tahoma" w:cs="Tahoma"/>
          <w:sz w:val="20"/>
          <w:szCs w:val="20"/>
        </w:rPr>
      </w:pPr>
    </w:p>
    <w:p w:rsidR="004B159D" w:rsidRDefault="004B159D">
      <w:pPr>
        <w:ind w:right="400"/>
        <w:rPr>
          <w:rFonts w:ascii="Arial" w:eastAsia="Arial" w:hAnsi="Arial" w:cs="Arial"/>
          <w:sz w:val="24"/>
          <w:szCs w:val="24"/>
        </w:rPr>
      </w:pPr>
    </w:p>
    <w:sectPr w:rsidR="004B159D">
      <w:pgSz w:w="12240" w:h="15840"/>
      <w:pgMar w:top="620" w:right="600" w:bottom="280" w:left="6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9D"/>
    <w:rsid w:val="004B159D"/>
    <w:rsid w:val="007C223D"/>
    <w:rsid w:val="008C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7A10DC-DB03-47A9-B3C0-C16D128C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4241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3294"/>
    </w:pPr>
    <w:rPr>
      <w:rFonts w:ascii="Georgia" w:eastAsia="Georgia" w:hAnsi="Georgia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6C7B45"/>
    <w:pPr>
      <w:widowControl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7B4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EC21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4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8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vcshrm.starchapter.com/meetinginfo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Ft7g5qJJTWGy/dzV8FrXhKD7w==">CgMxLjA4AHIhMTktdHNpdE8xVXBwc1V0ZVNKeC1CMkp2S1ZSX0paQlFG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alexisu</dc:creator>
  <cp:lastModifiedBy>Glover, Gerri</cp:lastModifiedBy>
  <cp:revision>2</cp:revision>
  <dcterms:created xsi:type="dcterms:W3CDTF">2025-02-05T22:18:00Z</dcterms:created>
  <dcterms:modified xsi:type="dcterms:W3CDTF">2025-02-05T22:18:00Z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2016-06-21T00:00:00Z</vt:filetime>
  </property>
  <property fmtid="{D5CDD505-2E9C-101B-9397-08002B2CF9AE}" pid="4" name="ContentTypeId">
    <vt:lpwstr>0x010100DF6F1BEC54075843B028CE9D3989705E</vt:lpwstr>
  </property>
</Properties>
</file>